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0EEB84" w14:textId="5EF3C249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>3GPP TSG RAN WG</w:t>
      </w:r>
      <w:r w:rsidR="004009C7">
        <w:rPr>
          <w:rFonts w:ascii="Arial" w:hAnsi="Arial" w:cs="Arial"/>
          <w:b/>
          <w:kern w:val="2"/>
          <w:lang w:eastAsia="zh-CN"/>
        </w:rPr>
        <w:t>4</w: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 </w:t>
      </w:r>
      <w:r w:rsidR="004009C7">
        <w:rPr>
          <w:rFonts w:ascii="Arial" w:hAnsi="Arial" w:cs="Arial"/>
          <w:b/>
          <w:kern w:val="2"/>
          <w:lang w:eastAsia="zh-CN"/>
        </w:rPr>
        <w:t>Meeting #92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685FD4" w:rsidRPr="00D74B92">
        <w:rPr>
          <w:rFonts w:ascii="Arial" w:hAnsi="Arial" w:cs="Arial"/>
          <w:b/>
          <w:kern w:val="2"/>
          <w:lang w:eastAsia="zh-CN"/>
        </w:rPr>
        <w:t>R</w:t>
      </w:r>
      <w:r w:rsidR="004009C7">
        <w:rPr>
          <w:rFonts w:ascii="Arial" w:hAnsi="Arial" w:cs="Arial"/>
          <w:b/>
          <w:kern w:val="2"/>
          <w:lang w:eastAsia="zh-CN"/>
        </w:rPr>
        <w:t>4</w:t>
      </w:r>
      <w:r w:rsidR="009C0564" w:rsidRPr="00D74B92">
        <w:rPr>
          <w:rFonts w:ascii="Arial" w:hAnsi="Arial" w:cs="Arial"/>
          <w:b/>
          <w:kern w:val="2"/>
          <w:lang w:eastAsia="zh-CN"/>
        </w:rPr>
        <w:t>-</w:t>
      </w:r>
      <w:r w:rsidR="00A460BF" w:rsidRPr="00D74B92">
        <w:rPr>
          <w:rFonts w:ascii="Arial" w:hAnsi="Arial" w:cs="Arial"/>
          <w:b/>
          <w:kern w:val="2"/>
          <w:lang w:eastAsia="zh-CN"/>
        </w:rPr>
        <w:t>19</w:t>
      </w:r>
      <w:r w:rsidR="004009C7">
        <w:rPr>
          <w:rFonts w:ascii="Arial" w:hAnsi="Arial" w:cs="Arial"/>
          <w:b/>
          <w:kern w:val="2"/>
          <w:lang w:eastAsia="zh-CN"/>
        </w:rPr>
        <w:t>0</w:t>
      </w:r>
      <w:r w:rsidR="001A4A3B">
        <w:rPr>
          <w:rFonts w:ascii="Arial" w:hAnsi="Arial" w:cs="Arial"/>
          <w:b/>
          <w:kern w:val="2"/>
          <w:lang w:eastAsia="zh-CN"/>
        </w:rPr>
        <w:t>8354</w:t>
      </w:r>
      <w:bookmarkStart w:id="0" w:name="_GoBack"/>
      <w:bookmarkEnd w:id="0"/>
    </w:p>
    <w:p w14:paraId="2A9D85E6" w14:textId="5B60483A" w:rsidR="009C0564" w:rsidRPr="007F5EC6" w:rsidRDefault="00940263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Ljubljana</w:t>
      </w:r>
      <w:r w:rsidR="00753191" w:rsidRPr="00D74B92">
        <w:rPr>
          <w:rFonts w:ascii="Arial" w:hAnsi="Arial" w:cs="Arial"/>
          <w:b/>
          <w:kern w:val="2"/>
          <w:lang w:eastAsia="zh-CN"/>
        </w:rPr>
        <w:t>,</w:t>
      </w:r>
      <w:r>
        <w:rPr>
          <w:rFonts w:ascii="Arial" w:hAnsi="Arial" w:cs="Arial"/>
          <w:b/>
          <w:kern w:val="2"/>
          <w:lang w:eastAsia="zh-CN"/>
        </w:rPr>
        <w:t xml:space="preserve"> Slovenia</w:t>
      </w:r>
      <w:r w:rsidR="00A06AAD">
        <w:rPr>
          <w:rFonts w:ascii="Arial" w:hAnsi="Arial" w:cs="Arial"/>
          <w:b/>
          <w:kern w:val="2"/>
          <w:lang w:eastAsia="zh-CN"/>
        </w:rPr>
        <w:t xml:space="preserve">, </w:t>
      </w:r>
      <w:r w:rsidR="00A06AAD" w:rsidRPr="00D74B92">
        <w:rPr>
          <w:rFonts w:ascii="Arial" w:hAnsi="Arial" w:cs="Arial"/>
          <w:b/>
          <w:kern w:val="2"/>
          <w:lang w:eastAsia="zh-CN"/>
        </w:rPr>
        <w:t>August</w:t>
      </w:r>
      <w:r w:rsidR="00F16BF2" w:rsidRPr="00D74B92">
        <w:rPr>
          <w:rFonts w:ascii="Arial" w:hAnsi="Arial" w:cs="Arial"/>
          <w:b/>
          <w:kern w:val="2"/>
          <w:lang w:eastAsia="zh-CN"/>
        </w:rPr>
        <w:t xml:space="preserve"> </w:t>
      </w:r>
      <w:r w:rsidR="00A06AAD">
        <w:rPr>
          <w:rFonts w:ascii="Arial" w:hAnsi="Arial" w:cs="Arial"/>
          <w:b/>
          <w:kern w:val="2"/>
          <w:lang w:eastAsia="zh-CN"/>
        </w:rPr>
        <w:t>26</w:t>
      </w:r>
      <w:r w:rsidR="00822944" w:rsidRPr="00D74B92">
        <w:rPr>
          <w:rFonts w:ascii="Arial" w:hAnsi="Arial" w:cs="Arial"/>
          <w:b/>
          <w:kern w:val="2"/>
          <w:lang w:eastAsia="zh-CN"/>
        </w:rPr>
        <w:t>-</w:t>
      </w:r>
      <w:r w:rsidR="00A06AAD">
        <w:rPr>
          <w:rFonts w:ascii="Arial" w:hAnsi="Arial" w:cs="Arial"/>
          <w:b/>
          <w:kern w:val="2"/>
          <w:lang w:eastAsia="zh-CN"/>
        </w:rPr>
        <w:t>30</w:t>
      </w:r>
      <w:r w:rsidR="00E07679" w:rsidRPr="00D74B92">
        <w:rPr>
          <w:rFonts w:ascii="Arial" w:hAnsi="Arial" w:cs="Arial"/>
          <w:b/>
          <w:kern w:val="2"/>
          <w:lang w:eastAsia="zh-CN"/>
        </w:rPr>
        <w:t>, 2019</w:t>
      </w:r>
    </w:p>
    <w:p w14:paraId="7826937B" w14:textId="075910B0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365E99">
        <w:rPr>
          <w:rFonts w:ascii="Arial" w:hAnsi="Arial" w:cs="Arial"/>
          <w:b/>
          <w:lang w:eastAsia="zh-CN"/>
        </w:rPr>
        <w:t>9.4.3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557EBE3A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126107">
        <w:rPr>
          <w:rFonts w:ascii="Arial" w:hAnsi="Arial" w:cs="Arial"/>
          <w:b/>
          <w:lang w:eastAsia="zh-CN"/>
        </w:rPr>
        <w:t xml:space="preserve">NR V2X </w:t>
      </w:r>
      <w:r w:rsidR="00F06CB4">
        <w:rPr>
          <w:rFonts w:ascii="Arial" w:hAnsi="Arial" w:cs="Arial"/>
          <w:b/>
          <w:lang w:eastAsia="zh-CN"/>
        </w:rPr>
        <w:t xml:space="preserve">UE </w:t>
      </w:r>
      <w:r w:rsidR="00365E99">
        <w:rPr>
          <w:rFonts w:ascii="Arial" w:hAnsi="Arial" w:cs="Arial"/>
          <w:b/>
          <w:lang w:eastAsia="zh-CN"/>
        </w:rPr>
        <w:t>RF Receiver Characteristics</w:t>
      </w:r>
    </w:p>
    <w:p w14:paraId="62BCD72B" w14:textId="5353E25F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CD0859">
        <w:rPr>
          <w:rFonts w:ascii="Arial" w:hAnsi="Arial" w:cs="Arial"/>
          <w:b/>
          <w:kern w:val="2"/>
          <w:lang w:eastAsia="zh-CN"/>
        </w:rPr>
        <w:t>Discussion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7EA95162" w14:textId="581A2A95" w:rsidR="00B87EC9" w:rsidRPr="007F5EC6" w:rsidRDefault="00126107" w:rsidP="007F5EC6">
      <w:r w:rsidRPr="00126107">
        <w:rPr>
          <w:lang w:eastAsia="zh-CN"/>
        </w:rPr>
        <w:t xml:space="preserve">In this contribution, we provide comparative analysis between LTE and NR UE RF receiver requirements and V2X characteristics. Each of the NR UE RF receiver requirements is </w:t>
      </w:r>
      <w:r w:rsidR="00365E99" w:rsidRPr="00126107">
        <w:rPr>
          <w:lang w:eastAsia="zh-CN"/>
        </w:rPr>
        <w:t>analyzed</w:t>
      </w:r>
      <w:r w:rsidRPr="00126107">
        <w:rPr>
          <w:lang w:eastAsia="zh-CN"/>
        </w:rPr>
        <w:t xml:space="preserve"> for NR V2X operations.</w:t>
      </w:r>
    </w:p>
    <w:p w14:paraId="35954F20" w14:textId="482BE92B" w:rsidR="00816E9B" w:rsidRDefault="00365E99" w:rsidP="00493C77">
      <w:pPr>
        <w:pStyle w:val="Heading1"/>
      </w:pPr>
      <w:r>
        <w:t xml:space="preserve">NR V2X </w:t>
      </w:r>
      <w:r w:rsidR="00F06CB4">
        <w:t xml:space="preserve">UE </w:t>
      </w:r>
      <w:r>
        <w:t xml:space="preserve">RF Receiver Characteristics </w:t>
      </w:r>
    </w:p>
    <w:p w14:paraId="60C7DFD0" w14:textId="4BC9E853" w:rsidR="00137C0D" w:rsidRDefault="00365E99" w:rsidP="00365E99">
      <w:pPr>
        <w:pStyle w:val="Heading2"/>
      </w:pPr>
      <w:r>
        <w:t>Reference Sensitivity</w:t>
      </w:r>
    </w:p>
    <w:p w14:paraId="3BE9D028" w14:textId="7E147C5B" w:rsidR="00365E99" w:rsidRDefault="00365E99" w:rsidP="00365E99">
      <w:r w:rsidRPr="00764BD2">
        <w:t>The reference sensitivity power level REFSENS is the minimum mean power applied to each one of the UE antenna ports</w:t>
      </w:r>
      <w:r w:rsidRPr="00764BD2">
        <w:rPr>
          <w:rFonts w:hint="eastAsia"/>
        </w:rPr>
        <w:t xml:space="preserve"> </w:t>
      </w:r>
      <w:r w:rsidRPr="00764BD2">
        <w:t>for all UE categories, at which the throughput shall meet or exceed the requirements for the specified reference measurement channel.</w:t>
      </w:r>
    </w:p>
    <w:p w14:paraId="6F90E1A7" w14:textId="6D701CBD" w:rsidR="00DB5726" w:rsidRDefault="004507A7" w:rsidP="00DB5726">
      <w:r>
        <w:t xml:space="preserve">For </w:t>
      </w:r>
      <w:r w:rsidR="004B491C">
        <w:t>LTE V2X, the RF requirements</w:t>
      </w:r>
      <w:r w:rsidR="007C0F6E">
        <w:t xml:space="preserve"> including REFSENS</w:t>
      </w:r>
      <w:r w:rsidR="004B491C">
        <w:t xml:space="preserve"> were defined for Band 47 and for the bandwidths 10MHz and 20MHz</w:t>
      </w:r>
      <w:r w:rsidR="00F06CB4">
        <w:t xml:space="preserve"> only</w:t>
      </w:r>
      <w:r w:rsidR="004B491C">
        <w:t xml:space="preserve">. </w:t>
      </w:r>
      <w:r w:rsidR="00DB5726">
        <w:t>When defining REFSENS for NR V2X, some of the key considerations include (i) non-concurrent and concurrent operation, (ii) ITS band and licensed bands, (iii) wider bandwidth options, (iv) the power control (open loop and closed)</w:t>
      </w:r>
      <w:r w:rsidR="00FA5DDB">
        <w:t>.</w:t>
      </w:r>
      <w:r w:rsidR="00DB5726">
        <w:t xml:space="preserve"> </w:t>
      </w:r>
    </w:p>
    <w:p w14:paraId="39EC736E" w14:textId="55F43F3C" w:rsidR="007C0F6E" w:rsidRDefault="007C0F6E" w:rsidP="00365E99">
      <w:r>
        <w:t>Considering the concurrent reception of LTE sidelink and NR sidelink, and LTE/NR sidelink and NR Uu, the REFSENS</w:t>
      </w:r>
      <w:r w:rsidR="00DB5726">
        <w:t xml:space="preserve"> is likely to be relaxed. The non-concurrent reception requirements should be defined for both licensed and ITS bands (</w:t>
      </w:r>
      <w:r w:rsidR="00F06CB4">
        <w:t>e.g.</w:t>
      </w:r>
      <w:r w:rsidR="00DB5726">
        <w:t xml:space="preserve"> Band 47). </w:t>
      </w:r>
    </w:p>
    <w:p w14:paraId="0010BFCD" w14:textId="26965C04" w:rsidR="00DB6ED8" w:rsidRDefault="00DB6ED8" w:rsidP="007F5EC6">
      <w:bookmarkStart w:id="3" w:name="_Ref129681832"/>
    </w:p>
    <w:p w14:paraId="308DC66E" w14:textId="11A5A5BA" w:rsidR="004B491C" w:rsidRDefault="00664FCD" w:rsidP="004B491C">
      <w:pPr>
        <w:pStyle w:val="Heading2"/>
      </w:pPr>
      <w:r w:rsidRPr="00AF277F">
        <w:t>A</w:t>
      </w:r>
      <w:r w:rsidR="004B491C">
        <w:t>djacent Channel Selectivity (ACS)</w:t>
      </w:r>
    </w:p>
    <w:p w14:paraId="2AAD079A" w14:textId="2C34EDE7" w:rsidR="00664FCD" w:rsidRPr="001D0100" w:rsidRDefault="00DB5726" w:rsidP="00DB5726">
      <w:pPr>
        <w:rPr>
          <w:rFonts w:eastAsia="DengXian"/>
          <w:lang w:eastAsia="zh-CN"/>
        </w:rPr>
      </w:pPr>
      <w:r>
        <w:t>The a</w:t>
      </w:r>
      <w:r w:rsidR="00664FCD" w:rsidRPr="00AF277F">
        <w:t>djacent Channel Selectivity (ACS)</w:t>
      </w:r>
      <w:r w:rsidR="00664FCD" w:rsidRPr="00090F38">
        <w:rPr>
          <w:rFonts w:eastAsiaTheme="minorEastAsia"/>
          <w:sz w:val="20"/>
          <w:szCs w:val="20"/>
        </w:rPr>
        <w:t xml:space="preserve"> for V2X Communication</w:t>
      </w:r>
      <w:r>
        <w:rPr>
          <w:rFonts w:eastAsiaTheme="minorEastAsia"/>
          <w:sz w:val="20"/>
          <w:szCs w:val="20"/>
        </w:rPr>
        <w:t xml:space="preserve"> and corresponding requirements can be defined concurrently from the results of coexistence studies.</w:t>
      </w:r>
    </w:p>
    <w:p w14:paraId="00DC5955" w14:textId="77777777" w:rsidR="00DB5726" w:rsidRPr="00DB5726" w:rsidRDefault="00664FCD" w:rsidP="00DB5726">
      <w:pPr>
        <w:rPr>
          <w:b/>
        </w:rPr>
      </w:pPr>
      <w:r w:rsidRPr="00DB5726">
        <w:rPr>
          <w:rFonts w:eastAsia="DengXian"/>
          <w:b/>
          <w:lang w:eastAsia="zh-CN"/>
        </w:rPr>
        <w:t>P</w:t>
      </w:r>
      <w:r w:rsidR="00DB5726" w:rsidRPr="00DB5726">
        <w:rPr>
          <w:rFonts w:eastAsia="DengXian"/>
          <w:b/>
          <w:lang w:eastAsia="zh-CN"/>
        </w:rPr>
        <w:t>roposal 1</w:t>
      </w:r>
      <w:r w:rsidRPr="00DB5726">
        <w:rPr>
          <w:rFonts w:eastAsia="DengXian"/>
          <w:b/>
          <w:lang w:eastAsia="zh-CN"/>
        </w:rPr>
        <w:t xml:space="preserve">: </w:t>
      </w:r>
      <w:r w:rsidR="00DB5726" w:rsidRPr="00DB5726">
        <w:rPr>
          <w:rFonts w:eastAsia="DengXian"/>
          <w:b/>
          <w:lang w:eastAsia="zh-CN"/>
        </w:rPr>
        <w:t>NR V2X RF receiver requirements such as</w:t>
      </w:r>
      <w:r w:rsidRPr="00DB5726">
        <w:rPr>
          <w:rFonts w:eastAsia="DengXian"/>
          <w:b/>
          <w:lang w:eastAsia="zh-CN"/>
        </w:rPr>
        <w:t xml:space="preserve"> REFSEN</w:t>
      </w:r>
      <w:r w:rsidR="00DB5726" w:rsidRPr="00DB5726">
        <w:rPr>
          <w:rFonts w:eastAsia="DengXian"/>
          <w:b/>
          <w:lang w:eastAsia="zh-CN"/>
        </w:rPr>
        <w:t>S</w:t>
      </w:r>
      <w:r w:rsidRPr="00DB5726">
        <w:rPr>
          <w:rFonts w:eastAsia="DengXian"/>
          <w:b/>
          <w:lang w:eastAsia="zh-CN"/>
        </w:rPr>
        <w:t xml:space="preserve"> and ACS </w:t>
      </w:r>
      <w:r w:rsidR="00DB5726" w:rsidRPr="00DB5726">
        <w:rPr>
          <w:rFonts w:eastAsia="DengXian"/>
          <w:b/>
          <w:lang w:eastAsia="zh-CN"/>
        </w:rPr>
        <w:t xml:space="preserve">require further evaluation considering </w:t>
      </w:r>
      <w:r w:rsidR="00DB5726" w:rsidRPr="00DB5726">
        <w:rPr>
          <w:b/>
        </w:rPr>
        <w:t xml:space="preserve">(i) non-concurrent and concurrent operation, (ii) ITS band and licensed bands, (iii) wider bandwidth options, (iv) the power control (open loop and closed) </w:t>
      </w:r>
    </w:p>
    <w:p w14:paraId="4B097064" w14:textId="124254BD" w:rsidR="00664FCD" w:rsidRPr="00672296" w:rsidRDefault="00664FCD" w:rsidP="00664FCD">
      <w:pPr>
        <w:rPr>
          <w:rFonts w:eastAsia="DengXian"/>
          <w:b/>
          <w:lang w:eastAsia="zh-CN"/>
        </w:rPr>
      </w:pPr>
    </w:p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1A35C1AE" w14:textId="16A9219C" w:rsidR="002A0348" w:rsidRPr="007F5EC6" w:rsidRDefault="00FA5DDB" w:rsidP="002D4171">
      <w:r>
        <w:t>This contribution</w:t>
      </w:r>
      <w:r w:rsidR="00246F24" w:rsidRPr="007F5EC6">
        <w:t xml:space="preserve"> </w:t>
      </w:r>
      <w:r w:rsidR="002A0348" w:rsidRPr="007F5EC6">
        <w:t xml:space="preserve">continue discussion on </w:t>
      </w:r>
      <w:r w:rsidR="00DB5726">
        <w:t>NR V2X RF re</w:t>
      </w:r>
      <w:r w:rsidR="00F06CB4">
        <w:t>ceiver requirements and proposes</w:t>
      </w:r>
      <w:r w:rsidR="00DB5726">
        <w:t xml:space="preserve"> </w:t>
      </w:r>
      <w:r w:rsidR="00F06CB4">
        <w:t>few</w:t>
      </w:r>
      <w:r>
        <w:t xml:space="preserve"> </w:t>
      </w:r>
      <w:r w:rsidR="00DB5726">
        <w:t>considerations</w:t>
      </w:r>
      <w:r w:rsidR="002A0348" w:rsidRPr="007F5EC6">
        <w:t>:</w:t>
      </w:r>
    </w:p>
    <w:p w14:paraId="7A5EB4DC" w14:textId="77777777" w:rsidR="00DB5726" w:rsidRPr="00DB5726" w:rsidRDefault="00DB5726" w:rsidP="00DB5726">
      <w:pPr>
        <w:rPr>
          <w:b/>
        </w:rPr>
      </w:pPr>
      <w:r w:rsidRPr="00DB5726">
        <w:rPr>
          <w:rFonts w:eastAsia="DengXian"/>
          <w:b/>
          <w:lang w:eastAsia="zh-CN"/>
        </w:rPr>
        <w:t xml:space="preserve">Proposal 1: NR V2X RF receiver requirements such as REFSENS and ACS require further evaluation considering </w:t>
      </w:r>
      <w:r w:rsidRPr="00DB5726">
        <w:rPr>
          <w:b/>
        </w:rPr>
        <w:t xml:space="preserve">(i) non-concurrent and concurrent operation, (ii) ITS band and licensed bands, (iii) wider bandwidth options, (iv) the power control (open loop and closed) </w:t>
      </w:r>
      <w:bookmarkEnd w:id="3"/>
    </w:p>
    <w:sectPr w:rsidR="00DB5726" w:rsidRPr="00DB572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2A7A6" w14:textId="77777777" w:rsidR="002C1BB0" w:rsidRDefault="002C1BB0">
      <w:r>
        <w:separator/>
      </w:r>
    </w:p>
  </w:endnote>
  <w:endnote w:type="continuationSeparator" w:id="0">
    <w:p w14:paraId="5142A870" w14:textId="77777777" w:rsidR="002C1BB0" w:rsidRDefault="002C1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D8687" w14:textId="77777777" w:rsidR="002C1BB0" w:rsidRDefault="002C1BB0">
      <w:r>
        <w:separator/>
      </w:r>
    </w:p>
  </w:footnote>
  <w:footnote w:type="continuationSeparator" w:id="0">
    <w:p w14:paraId="1F94EBA5" w14:textId="77777777" w:rsidR="002C1BB0" w:rsidRDefault="002C1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534437C"/>
    <w:multiLevelType w:val="hybridMultilevel"/>
    <w:tmpl w:val="806C4E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7027CD5"/>
    <w:multiLevelType w:val="hybridMultilevel"/>
    <w:tmpl w:val="99862E86"/>
    <w:lvl w:ilvl="0" w:tplc="6030ACBC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B85C25"/>
    <w:multiLevelType w:val="multilevel"/>
    <w:tmpl w:val="54DC0D7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B069F0"/>
    <w:multiLevelType w:val="hybridMultilevel"/>
    <w:tmpl w:val="ED521104"/>
    <w:lvl w:ilvl="0" w:tplc="0809000F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4" w15:restartNumberingAfterBreak="0">
    <w:nsid w:val="15825C36"/>
    <w:multiLevelType w:val="multilevel"/>
    <w:tmpl w:val="040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1642" w:hanging="432"/>
      </w:pPr>
    </w:lvl>
    <w:lvl w:ilvl="2">
      <w:start w:val="1"/>
      <w:numFmt w:val="decimal"/>
      <w:lvlText w:val="%1.%2.%3."/>
      <w:lvlJc w:val="left"/>
      <w:pPr>
        <w:ind w:left="2074" w:hanging="504"/>
      </w:pPr>
    </w:lvl>
    <w:lvl w:ilvl="3">
      <w:start w:val="1"/>
      <w:numFmt w:val="decimal"/>
      <w:lvlText w:val="%1.%2.%3.%4."/>
      <w:lvlJc w:val="left"/>
      <w:pPr>
        <w:ind w:left="2578" w:hanging="648"/>
      </w:pPr>
    </w:lvl>
    <w:lvl w:ilvl="4">
      <w:start w:val="1"/>
      <w:numFmt w:val="decimal"/>
      <w:lvlText w:val="%1.%2.%3.%4.%5."/>
      <w:lvlJc w:val="left"/>
      <w:pPr>
        <w:ind w:left="3082" w:hanging="792"/>
      </w:pPr>
    </w:lvl>
    <w:lvl w:ilvl="5">
      <w:start w:val="1"/>
      <w:numFmt w:val="decimal"/>
      <w:lvlText w:val="%1.%2.%3.%4.%5.%6."/>
      <w:lvlJc w:val="left"/>
      <w:pPr>
        <w:ind w:left="3586" w:hanging="936"/>
      </w:pPr>
    </w:lvl>
    <w:lvl w:ilvl="6">
      <w:start w:val="1"/>
      <w:numFmt w:val="decimal"/>
      <w:lvlText w:val="%1.%2.%3.%4.%5.%6.%7."/>
      <w:lvlJc w:val="left"/>
      <w:pPr>
        <w:ind w:left="4090" w:hanging="1080"/>
      </w:pPr>
    </w:lvl>
    <w:lvl w:ilvl="7">
      <w:start w:val="1"/>
      <w:numFmt w:val="decimal"/>
      <w:lvlText w:val="%1.%2.%3.%4.%5.%6.%7.%8."/>
      <w:lvlJc w:val="left"/>
      <w:pPr>
        <w:ind w:left="4594" w:hanging="1224"/>
      </w:pPr>
    </w:lvl>
    <w:lvl w:ilvl="8">
      <w:start w:val="1"/>
      <w:numFmt w:val="decimal"/>
      <w:lvlText w:val="%1.%2.%3.%4.%5.%6.%7.%8.%9."/>
      <w:lvlJc w:val="left"/>
      <w:pPr>
        <w:ind w:left="5170" w:hanging="1440"/>
      </w:pPr>
    </w:lvl>
  </w:abstractNum>
  <w:abstractNum w:abstractNumId="15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7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8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 w15:restartNumberingAfterBreak="0">
    <w:nsid w:val="283404DA"/>
    <w:multiLevelType w:val="hybridMultilevel"/>
    <w:tmpl w:val="89FE3E84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20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2D2A2D"/>
    <w:multiLevelType w:val="hybridMultilevel"/>
    <w:tmpl w:val="FBEAE3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44B4E4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BF31E10"/>
    <w:multiLevelType w:val="hybridMultilevel"/>
    <w:tmpl w:val="51269C08"/>
    <w:lvl w:ilvl="0" w:tplc="C2FCEFB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1520DF"/>
    <w:multiLevelType w:val="hybridMultilevel"/>
    <w:tmpl w:val="9FD8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3EBB5A42"/>
    <w:multiLevelType w:val="hybridMultilevel"/>
    <w:tmpl w:val="D6C870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52513D"/>
    <w:multiLevelType w:val="hybridMultilevel"/>
    <w:tmpl w:val="B7B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7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8" w15:restartNumberingAfterBreak="0">
    <w:nsid w:val="57FA5FEF"/>
    <w:multiLevelType w:val="hybridMultilevel"/>
    <w:tmpl w:val="F87C7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4D5533"/>
    <w:multiLevelType w:val="hybridMultilevel"/>
    <w:tmpl w:val="AEC433C0"/>
    <w:lvl w:ilvl="0" w:tplc="0409000F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0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5EFC293B"/>
    <w:multiLevelType w:val="hybridMultilevel"/>
    <w:tmpl w:val="CD2EDAB4"/>
    <w:lvl w:ilvl="0" w:tplc="0430E6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26"/>
  </w:num>
  <w:num w:numId="3">
    <w:abstractNumId w:val="23"/>
  </w:num>
  <w:num w:numId="4">
    <w:abstractNumId w:val="20"/>
  </w:num>
  <w:num w:numId="5">
    <w:abstractNumId w:val="12"/>
  </w:num>
  <w:num w:numId="6">
    <w:abstractNumId w:val="46"/>
  </w:num>
  <w:num w:numId="7">
    <w:abstractNumId w:val="22"/>
  </w:num>
  <w:num w:numId="8">
    <w:abstractNumId w:val="35"/>
  </w:num>
  <w:num w:numId="9">
    <w:abstractNumId w:val="44"/>
  </w:num>
  <w:num w:numId="10">
    <w:abstractNumId w:val="45"/>
  </w:num>
  <w:num w:numId="11">
    <w:abstractNumId w:val="49"/>
  </w:num>
  <w:num w:numId="12">
    <w:abstractNumId w:val="18"/>
  </w:num>
  <w:num w:numId="13">
    <w:abstractNumId w:val="37"/>
  </w:num>
  <w:num w:numId="14">
    <w:abstractNumId w:val="36"/>
  </w:num>
  <w:num w:numId="15">
    <w:abstractNumId w:val="30"/>
  </w:num>
  <w:num w:numId="16">
    <w:abstractNumId w:val="16"/>
  </w:num>
  <w:num w:numId="17">
    <w:abstractNumId w:val="29"/>
  </w:num>
  <w:num w:numId="18">
    <w:abstractNumId w:val="17"/>
  </w:num>
  <w:num w:numId="19">
    <w:abstractNumId w:val="15"/>
  </w:num>
  <w:num w:numId="20">
    <w:abstractNumId w:val="41"/>
  </w:num>
  <w:num w:numId="21">
    <w:abstractNumId w:val="3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1"/>
  </w:num>
  <w:num w:numId="32">
    <w:abstractNumId w:val="14"/>
  </w:num>
  <w:num w:numId="33">
    <w:abstractNumId w:val="24"/>
  </w:num>
  <w:num w:numId="34">
    <w:abstractNumId w:val="11"/>
  </w:num>
  <w:num w:numId="35">
    <w:abstractNumId w:val="42"/>
  </w:num>
  <w:num w:numId="36">
    <w:abstractNumId w:val="32"/>
  </w:num>
  <w:num w:numId="37">
    <w:abstractNumId w:val="43"/>
  </w:num>
  <w:num w:numId="38">
    <w:abstractNumId w:val="9"/>
  </w:num>
  <w:num w:numId="39">
    <w:abstractNumId w:val="27"/>
  </w:num>
  <w:num w:numId="40">
    <w:abstractNumId w:val="38"/>
  </w:num>
  <w:num w:numId="41">
    <w:abstractNumId w:val="19"/>
  </w:num>
  <w:num w:numId="42">
    <w:abstractNumId w:val="33"/>
  </w:num>
  <w:num w:numId="43">
    <w:abstractNumId w:val="21"/>
  </w:num>
  <w:num w:numId="44">
    <w:abstractNumId w:val="48"/>
  </w:num>
  <w:num w:numId="45">
    <w:abstractNumId w:val="25"/>
  </w:num>
  <w:num w:numId="46">
    <w:abstractNumId w:val="10"/>
  </w:num>
  <w:num w:numId="47">
    <w:abstractNumId w:val="39"/>
  </w:num>
  <w:num w:numId="48">
    <w:abstractNumId w:val="13"/>
  </w:num>
  <w:num w:numId="49">
    <w:abstractNumId w:val="40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34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107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7C0D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4A3B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BB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E9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09C7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7A7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1C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4FC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3366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0F6E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65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263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0C7E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C68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AAD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5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59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5726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6CB4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5DDB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3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7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58C086-44A8-4969-B585-A3694E098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Siva Subramani</cp:lastModifiedBy>
  <cp:revision>11</cp:revision>
  <cp:lastPrinted>2007-06-18T22:08:00Z</cp:lastPrinted>
  <dcterms:created xsi:type="dcterms:W3CDTF">2019-07-23T19:22:00Z</dcterms:created>
  <dcterms:modified xsi:type="dcterms:W3CDTF">2019-08-15T15:14:00Z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